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E4" w:rsidRPr="000E4D81" w:rsidRDefault="00912FF3" w:rsidP="000E4D81">
      <w:pPr>
        <w:jc w:val="center"/>
        <w:rPr>
          <w:rFonts w:asciiTheme="majorHAnsi" w:hAnsiTheme="majorHAnsi"/>
          <w:b/>
        </w:rPr>
      </w:pPr>
      <w:r w:rsidRPr="000E4D81">
        <w:rPr>
          <w:rFonts w:asciiTheme="majorHAnsi" w:hAnsiTheme="majorHAnsi"/>
          <w:b/>
        </w:rPr>
        <w:t>AJPP Dissemination Toolkit</w:t>
      </w:r>
    </w:p>
    <w:p w:rsidR="0084581F" w:rsidRDefault="0084581F">
      <w:r>
        <w:t>INTRODUCTION</w:t>
      </w:r>
    </w:p>
    <w:p w:rsidR="00912FF3" w:rsidRPr="000E4D81" w:rsidRDefault="007F07AC">
      <w:r w:rsidRPr="000E4D81">
        <w:t xml:space="preserve">At the annual AJPP meeting in 2014 </w:t>
      </w:r>
      <w:r w:rsidR="0035773D" w:rsidRPr="000E4D81">
        <w:t xml:space="preserve">member </w:t>
      </w:r>
      <w:r w:rsidRPr="000E4D81">
        <w:t>editors prioritized reaching a variety of audiences, beyond those who might typically read the journals to improve uptake of evidence based approaches to health problems.  AJPP then convened a working group to look into</w:t>
      </w:r>
      <w:r w:rsidR="00202245" w:rsidRPr="000E4D81">
        <w:t xml:space="preserve"> existing</w:t>
      </w:r>
      <w:r w:rsidRPr="000E4D81">
        <w:t xml:space="preserve"> </w:t>
      </w:r>
      <w:r w:rsidR="00F24E3F" w:rsidRPr="000E4D81">
        <w:t xml:space="preserve">resources and help to guide the work on this issue. </w:t>
      </w:r>
    </w:p>
    <w:p w:rsidR="001B045A" w:rsidRPr="000E4D81" w:rsidRDefault="005C7059">
      <w:r w:rsidRPr="000E4D81">
        <w:t xml:space="preserve">In a review of the existing literature on dissemination </w:t>
      </w:r>
      <w:r w:rsidR="0035773D" w:rsidRPr="000E4D81">
        <w:t>the group</w:t>
      </w:r>
      <w:r w:rsidR="00C13B2E" w:rsidRPr="000E4D81">
        <w:t xml:space="preserve"> identified several resources</w:t>
      </w:r>
      <w:r w:rsidR="00A3634E" w:rsidRPr="000E4D81">
        <w:t xml:space="preserve">.  </w:t>
      </w:r>
      <w:r w:rsidR="0035773D" w:rsidRPr="000E4D81">
        <w:t xml:space="preserve">AJPP </w:t>
      </w:r>
      <w:r w:rsidR="00A3634E" w:rsidRPr="000E4D81">
        <w:t xml:space="preserve">members </w:t>
      </w:r>
      <w:r w:rsidR="00C13B2E" w:rsidRPr="000E4D81">
        <w:t xml:space="preserve">will continue to collect </w:t>
      </w:r>
      <w:r w:rsidR="00A3634E" w:rsidRPr="000E4D81">
        <w:t xml:space="preserve">and contribute </w:t>
      </w:r>
      <w:r w:rsidR="00C13B2E" w:rsidRPr="000E4D81">
        <w:t>resources</w:t>
      </w:r>
      <w:r w:rsidR="00A3634E" w:rsidRPr="000E4D81">
        <w:t>, as well as</w:t>
      </w:r>
      <w:r w:rsidR="00C13B2E" w:rsidRPr="000E4D81">
        <w:t xml:space="preserve"> </w:t>
      </w:r>
      <w:r w:rsidR="00477AE4" w:rsidRPr="000E4D81">
        <w:t xml:space="preserve">to </w:t>
      </w:r>
      <w:r w:rsidR="00C13B2E" w:rsidRPr="000E4D81">
        <w:t xml:space="preserve">document experiences in this area </w:t>
      </w:r>
      <w:r w:rsidR="0035773D" w:rsidRPr="000E4D81">
        <w:t>for the benefit of all members.</w:t>
      </w:r>
      <w:r w:rsidR="00A3634E" w:rsidRPr="000E4D81">
        <w:t xml:space="preserve"> </w:t>
      </w:r>
      <w:r w:rsidR="0035773D" w:rsidRPr="000E4D81">
        <w:t xml:space="preserve"> </w:t>
      </w:r>
      <w:r w:rsidR="001B045A" w:rsidRPr="000E4D81">
        <w:t xml:space="preserve">This collection of documents is intended to be a living toolkit where the group </w:t>
      </w:r>
      <w:r w:rsidR="00BF19F4" w:rsidRPr="000E4D81">
        <w:t xml:space="preserve">members </w:t>
      </w:r>
      <w:r w:rsidR="001B045A" w:rsidRPr="000E4D81">
        <w:t xml:space="preserve">can look for </w:t>
      </w:r>
      <w:r w:rsidR="00BF19F4" w:rsidRPr="000E4D81">
        <w:t>answers to questions and sh</w:t>
      </w:r>
      <w:r w:rsidR="0035773D" w:rsidRPr="000E4D81">
        <w:t xml:space="preserve">are resources.  AJPP will continue to pursue opportunities to deepen the available resource pool, improve the presentation, and support ongoing dialogue. </w:t>
      </w:r>
    </w:p>
    <w:p w:rsidR="0035773D" w:rsidRPr="0084581F" w:rsidRDefault="0035773D">
      <w:r w:rsidRPr="0084581F">
        <w:t xml:space="preserve">The contents </w:t>
      </w:r>
      <w:r w:rsidR="001331AE" w:rsidRPr="0084581F">
        <w:t xml:space="preserve">of the AJPP Dissemination Toolkit </w:t>
      </w:r>
      <w:r w:rsidR="0084581F">
        <w:t>include:</w:t>
      </w:r>
    </w:p>
    <w:p w:rsidR="0035773D" w:rsidRPr="000E4D81" w:rsidRDefault="0035773D" w:rsidP="0035773D">
      <w:pPr>
        <w:pStyle w:val="ListParagraph"/>
        <w:numPr>
          <w:ilvl w:val="0"/>
          <w:numId w:val="1"/>
        </w:numPr>
      </w:pPr>
      <w:r w:rsidRPr="000E4D81">
        <w:t xml:space="preserve">a </w:t>
      </w:r>
      <w:r w:rsidR="000E4D81">
        <w:t>group of resources</w:t>
      </w:r>
      <w:r w:rsidRPr="000E4D81">
        <w:t xml:space="preserve"> that were identified in a systematic review </w:t>
      </w:r>
      <w:r w:rsidR="000E4D81">
        <w:t xml:space="preserve">as .pdf documents </w:t>
      </w:r>
      <w:r w:rsidRPr="000E4D81">
        <w:t xml:space="preserve">and </w:t>
      </w:r>
      <w:r w:rsidR="000E4D81">
        <w:t xml:space="preserve">the </w:t>
      </w:r>
      <w:r w:rsidRPr="000E4D81">
        <w:t xml:space="preserve">links to these documents; </w:t>
      </w:r>
    </w:p>
    <w:p w:rsidR="000E4D81" w:rsidRPr="000E4D81" w:rsidRDefault="0035773D" w:rsidP="000E4D81">
      <w:pPr>
        <w:pStyle w:val="ListParagraph"/>
        <w:numPr>
          <w:ilvl w:val="0"/>
          <w:numId w:val="1"/>
        </w:numPr>
      </w:pPr>
      <w:r w:rsidRPr="000E4D81">
        <w:t xml:space="preserve">a matrix in Excel in which the columns denote audiences and the rows </w:t>
      </w:r>
      <w:r w:rsidR="00F647F8" w:rsidRPr="000E4D81">
        <w:t xml:space="preserve">list different </w:t>
      </w:r>
      <w:r w:rsidRPr="000E4D81">
        <w:t xml:space="preserve">methods for reaching </w:t>
      </w:r>
      <w:r w:rsidR="00F647F8" w:rsidRPr="000E4D81">
        <w:t xml:space="preserve">each of the </w:t>
      </w:r>
      <w:r w:rsidRPr="000E4D81">
        <w:t>audiences</w:t>
      </w:r>
      <w:r w:rsidR="00F647F8" w:rsidRPr="000E4D81">
        <w:t>,</w:t>
      </w:r>
      <w:r w:rsidRPr="000E4D81">
        <w:t xml:space="preserve"> thus identifying available resources and gaps</w:t>
      </w:r>
      <w:r w:rsidR="00564BBE" w:rsidRPr="000E4D81">
        <w:t xml:space="preserve"> in the available documentation. </w:t>
      </w:r>
    </w:p>
    <w:p w:rsidR="000E4D81" w:rsidRPr="0024732D" w:rsidRDefault="0084581F" w:rsidP="000E4D81">
      <w:r w:rsidRPr="0024732D">
        <w:t>RESOURCES</w:t>
      </w:r>
    </w:p>
    <w:p w:rsidR="000E4D81" w:rsidRPr="000E4D81" w:rsidRDefault="00513EDA" w:rsidP="000E4D81">
      <w:pPr>
        <w:pStyle w:val="ListParagraph"/>
        <w:numPr>
          <w:ilvl w:val="0"/>
          <w:numId w:val="2"/>
        </w:numPr>
      </w:pPr>
      <w:hyperlink r:id="rId8" w:history="1">
        <w:r w:rsidR="000E4D81" w:rsidRPr="000E4D81">
          <w:rPr>
            <w:rStyle w:val="Hyperlink"/>
          </w:rPr>
          <w:t>Communications Handbook for Clinical Trials</w:t>
        </w:r>
      </w:hyperlink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Ch. 6: Preparing for and Disseminating Study Results</w:t>
      </w:r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General background, prioritization and planning guidance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Ch. 7: Developing and Using Key Messages</w:t>
      </w:r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Defining the message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Ch. 8: Communicating Science Clearly</w:t>
      </w:r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 xml:space="preserve">Providing technical information to media and general public 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 xml:space="preserve">Ch. 9: Working with the Media </w:t>
      </w:r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 xml:space="preserve">Best practices for working with journalists 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Appendix 3.3 Contact List Template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Appendix 7.1 Sample Brochure to Share Study Results with a Community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Appendix 7.2 Sample Brochure to Share Study Results with a Ministry of Health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Appendix 9.5 Press Release Template</w:t>
      </w:r>
    </w:p>
    <w:p w:rsidR="000E4D81" w:rsidRPr="000E4D81" w:rsidRDefault="000E4D81" w:rsidP="000E4D81">
      <w:pPr>
        <w:spacing w:after="0" w:line="240" w:lineRule="auto"/>
        <w:rPr>
          <w:rFonts w:eastAsia="Times New Roman" w:cs="Times New Roman"/>
          <w:color w:val="000000"/>
        </w:rPr>
      </w:pPr>
    </w:p>
    <w:p w:rsidR="000E4D81" w:rsidRPr="000E4D81" w:rsidRDefault="00513EDA" w:rsidP="000E4D8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hyperlink r:id="rId9" w:history="1">
        <w:r w:rsidR="000E4D81" w:rsidRPr="000E4D81">
          <w:rPr>
            <w:rStyle w:val="Hyperlink"/>
            <w:rFonts w:eastAsia="Times New Roman" w:cs="Times New Roman"/>
          </w:rPr>
          <w:t>Disseminating Rural Health Research to State and National Audiences a Communications Toolkit for Health Researchers</w:t>
        </w:r>
      </w:hyperlink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4: Effective Titles</w:t>
      </w:r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Increasing the chances for an article to reach the right audience, including policymakers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6: Fact Sheets</w:t>
      </w:r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 xml:space="preserve">Quick read formats for reaching policymakers 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7: Policy/Findings Briefs</w:t>
      </w:r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lastRenderedPageBreak/>
        <w:t>Research summaries that frame research in terms of utility to a policy audience</w:t>
      </w:r>
    </w:p>
    <w:p w:rsidR="000E4D81" w:rsidRPr="000E4D81" w:rsidRDefault="000E4D81" w:rsidP="000E4D81">
      <w:pPr>
        <w:pStyle w:val="ListParagraph"/>
        <w:spacing w:after="0" w:line="240" w:lineRule="auto"/>
        <w:rPr>
          <w:rFonts w:eastAsia="Times New Roman" w:cs="Times New Roman"/>
          <w:color w:val="000000"/>
        </w:rPr>
      </w:pPr>
    </w:p>
    <w:p w:rsidR="000E4D81" w:rsidRPr="000E4D81" w:rsidRDefault="00513EDA" w:rsidP="000E4D8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hyperlink r:id="rId10" w:history="1">
        <w:r w:rsidR="000E4D81" w:rsidRPr="000E4D81">
          <w:rPr>
            <w:rStyle w:val="Hyperlink"/>
            <w:rFonts w:eastAsia="Times New Roman" w:cs="Times New Roman"/>
          </w:rPr>
          <w:t>Successful Communication: A Toolkit for Researchers and Civil Society Organizations</w:t>
        </w:r>
      </w:hyperlink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 xml:space="preserve">Planning Tools p. 7 – 18 </w:t>
      </w:r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Developing the overarching dissemination strategy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Packaging Tools p. 19 – 28</w:t>
      </w:r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Broad guidance on developing the message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Targeting Tools p. 29 – 48</w:t>
      </w:r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Modes of reaching the audiences of interest</w:t>
      </w:r>
    </w:p>
    <w:p w:rsidR="000E4D81" w:rsidRPr="000E4D81" w:rsidRDefault="000E4D81" w:rsidP="000E4D81">
      <w:pPr>
        <w:pStyle w:val="ListParagraph"/>
        <w:spacing w:after="0" w:line="240" w:lineRule="auto"/>
        <w:ind w:left="360"/>
        <w:rPr>
          <w:rFonts w:eastAsia="Times New Roman" w:cs="Times New Roman"/>
          <w:color w:val="000000"/>
        </w:rPr>
      </w:pPr>
    </w:p>
    <w:p w:rsidR="000E4D81" w:rsidRPr="000E4D81" w:rsidRDefault="00513EDA" w:rsidP="000E4D8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hyperlink r:id="rId11" w:history="1">
        <w:r w:rsidR="000E4D81" w:rsidRPr="000E4D81">
          <w:rPr>
            <w:rStyle w:val="Hyperlink"/>
            <w:rFonts w:eastAsia="Times New Roman" w:cs="Times New Roman"/>
          </w:rPr>
          <w:t>The Knowledge Translation Toolkit: Bridging the Know–Do Gap: A Resource for Researchers</w:t>
        </w:r>
      </w:hyperlink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 xml:space="preserve">Section III - The Message p. 101 – 129 </w:t>
      </w:r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Strategic approaches to audience identification and messaging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 xml:space="preserve">Section IV - The Medium p. 129 – 184 </w:t>
      </w:r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 xml:space="preserve">Tips for news media, press releases, policy briefs, pamphlets, cartoons, online social networking, blogs, oral presentations, conference presentations, social media, theatre, song 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 xml:space="preserve">Section V - The Toolbox p. 185 – 224 </w:t>
      </w:r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 xml:space="preserve">Examples and templates for: policy brief, conference presentation, poster presentation, email lists, newsletters, </w:t>
      </w:r>
    </w:p>
    <w:p w:rsidR="000E4D81" w:rsidRPr="000E4D81" w:rsidRDefault="000E4D81" w:rsidP="000E4D81">
      <w:pPr>
        <w:pStyle w:val="ListParagraph"/>
        <w:spacing w:after="0" w:line="240" w:lineRule="auto"/>
        <w:ind w:left="360"/>
        <w:rPr>
          <w:rFonts w:eastAsia="Times New Roman" w:cs="Times New Roman"/>
          <w:color w:val="000000"/>
        </w:rPr>
      </w:pPr>
    </w:p>
    <w:p w:rsidR="000E4D81" w:rsidRPr="000E4D81" w:rsidRDefault="00513EDA" w:rsidP="000E4D8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hyperlink r:id="rId12" w:history="1">
        <w:r w:rsidR="000E4D81" w:rsidRPr="000E4D81">
          <w:rPr>
            <w:rStyle w:val="Hyperlink"/>
            <w:rFonts w:eastAsia="Times New Roman" w:cs="Times New Roman"/>
          </w:rPr>
          <w:t>Translating Health Research into Action: A Toolkit for the Caribbean</w:t>
        </w:r>
      </w:hyperlink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 xml:space="preserve">Chapter 6 – Communicating Research Findings p. 40 – 42 </w:t>
      </w:r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Tips of defining the message and what to highlight for various different audiences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 xml:space="preserve">Chapter 7 – Packaging Research Findings p. 43 – 47 </w:t>
      </w:r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 xml:space="preserve">List and brief description of various dissemination resources 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Table 7 – Dissemination Options based on the Nature of Evidence</w:t>
      </w:r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Decision matrix for ways of disseminating different types of findings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 xml:space="preserve">Annex 2 – Worksheet on Developing Messages from Research Findings 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Annex 3 – Worksheet on Communicating Messages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Annex 4 – Key issues to Consider When Presenting Research Findings in a Report</w:t>
      </w:r>
    </w:p>
    <w:p w:rsidR="000E4D81" w:rsidRPr="000E4D81" w:rsidRDefault="000E4D81" w:rsidP="000E4D8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Annex 5 – Some Tips When Preparing PowerPoint Presentations</w:t>
      </w:r>
    </w:p>
    <w:p w:rsidR="000E4D81" w:rsidRPr="000E4D81" w:rsidRDefault="000E4D81" w:rsidP="000E4D81">
      <w:pPr>
        <w:pStyle w:val="ListParagraph"/>
        <w:spacing w:after="0" w:line="240" w:lineRule="auto"/>
        <w:ind w:left="360"/>
        <w:rPr>
          <w:rFonts w:eastAsia="Times New Roman" w:cs="Times New Roman"/>
          <w:color w:val="000000"/>
        </w:rPr>
      </w:pPr>
    </w:p>
    <w:p w:rsidR="000E4D81" w:rsidRPr="000E4D81" w:rsidRDefault="00513EDA" w:rsidP="000E4D8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hyperlink r:id="rId13" w:history="1">
        <w:r w:rsidR="000E4D81" w:rsidRPr="000E4D81">
          <w:rPr>
            <w:rStyle w:val="Hyperlink"/>
            <w:rFonts w:eastAsia="Times New Roman" w:cs="Times New Roman"/>
          </w:rPr>
          <w:t>Creating an Effective Dissemination Strategy</w:t>
        </w:r>
      </w:hyperlink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 xml:space="preserve">Provides questions for thinking though development of target audience, message and methodology </w:t>
      </w:r>
    </w:p>
    <w:p w:rsidR="000E4D81" w:rsidRPr="000E4D81" w:rsidRDefault="00513EDA" w:rsidP="000E4D8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hyperlink r:id="rId14" w:anchor="components" w:history="1">
        <w:r w:rsidR="000E4D81" w:rsidRPr="000E4D81">
          <w:rPr>
            <w:rStyle w:val="Hyperlink"/>
            <w:rFonts w:eastAsia="Times New Roman" w:cs="Times New Roman"/>
          </w:rPr>
          <w:t>Development of a planning tool to guide dissemination of research results. Dissemination planning tool: exhibit A.</w:t>
        </w:r>
      </w:hyperlink>
      <w:r w:rsidR="000E4D81" w:rsidRPr="000E4D81">
        <w:rPr>
          <w:rFonts w:eastAsia="Times New Roman" w:cs="Times New Roman"/>
          <w:color w:val="000000"/>
        </w:rPr>
        <w:t xml:space="preserve"> </w:t>
      </w:r>
    </w:p>
    <w:p w:rsidR="000E4D81" w:rsidRP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Very brief planning tool that walks though dissemination step by step</w:t>
      </w:r>
    </w:p>
    <w:p w:rsidR="000E4D81" w:rsidRPr="000E4D81" w:rsidRDefault="000E4D81" w:rsidP="000E4D81">
      <w:pPr>
        <w:pStyle w:val="ListParagraph"/>
        <w:spacing w:after="0" w:line="240" w:lineRule="auto"/>
        <w:ind w:left="1080"/>
        <w:rPr>
          <w:rFonts w:eastAsia="Times New Roman" w:cs="Times New Roman"/>
          <w:color w:val="000000"/>
        </w:rPr>
      </w:pPr>
    </w:p>
    <w:p w:rsidR="000E4D81" w:rsidRPr="000E4D81" w:rsidRDefault="00513EDA" w:rsidP="000E4D81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</w:rPr>
      </w:pPr>
      <w:hyperlink r:id="rId15" w:history="1">
        <w:r w:rsidR="000E4D81" w:rsidRPr="000E4D81">
          <w:rPr>
            <w:rStyle w:val="Hyperlink"/>
            <w:rFonts w:eastAsia="Times New Roman" w:cs="Times New Roman"/>
          </w:rPr>
          <w:t>Toolkit</w:t>
        </w:r>
        <w:r w:rsidR="000E4D81" w:rsidRPr="000E4D81">
          <w:rPr>
            <w:rStyle w:val="Hyperlink"/>
          </w:rPr>
          <w:t xml:space="preserve"> for Researchers: How to Write a Policy Brief</w:t>
        </w:r>
      </w:hyperlink>
    </w:p>
    <w:p w:rsidR="000E4D81" w:rsidRDefault="000E4D81" w:rsidP="000E4D81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 w:rsidRPr="000E4D81">
        <w:rPr>
          <w:rFonts w:eastAsia="Times New Roman" w:cs="Times New Roman"/>
          <w:color w:val="000000"/>
        </w:rPr>
        <w:t>PowerPoint presentation with step by step instructions on writing a brief</w:t>
      </w:r>
    </w:p>
    <w:p w:rsidR="000E4D81" w:rsidRDefault="000E4D81" w:rsidP="000E4D81">
      <w:pPr>
        <w:spacing w:after="0" w:line="240" w:lineRule="auto"/>
        <w:rPr>
          <w:rFonts w:eastAsia="Times New Roman" w:cs="Times New Roman"/>
          <w:color w:val="000000"/>
        </w:rPr>
      </w:pPr>
    </w:p>
    <w:p w:rsidR="0084581F" w:rsidRPr="0084581F" w:rsidRDefault="0024732D" w:rsidP="0084581F">
      <w:r>
        <w:t>AUDIENCES AND METHODOLOGIES COVERED</w:t>
      </w:r>
    </w:p>
    <w:p w:rsidR="00100BBA" w:rsidRPr="0084581F" w:rsidRDefault="0084581F" w:rsidP="0084581F">
      <w:r w:rsidRPr="0084581F">
        <w:t xml:space="preserve">The matrix below is designed to facilitate </w:t>
      </w:r>
      <w:r>
        <w:t>journal editors' use of these resources to reach out to diverse audiences</w:t>
      </w:r>
      <w:r w:rsidRPr="0084581F">
        <w:t xml:space="preserve">. </w:t>
      </w:r>
      <w:r>
        <w:t xml:space="preserve">The matrix maps the available resources by the target audiences identified by the journals and identifies gaps where no resources are available.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070"/>
        <w:gridCol w:w="2070"/>
        <w:gridCol w:w="1440"/>
        <w:gridCol w:w="1728"/>
      </w:tblGrid>
      <w:tr w:rsidR="000E4D81" w:rsidRPr="00100BBA" w:rsidTr="00100BBA">
        <w:tc>
          <w:tcPr>
            <w:tcW w:w="2268" w:type="dxa"/>
          </w:tcPr>
          <w:p w:rsidR="000E4D81" w:rsidRPr="00100BBA" w:rsidRDefault="000E4D81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:rsidR="000E4D81" w:rsidRPr="00100BBA" w:rsidRDefault="000E4D81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Public/Civil Society</w:t>
            </w:r>
          </w:p>
        </w:tc>
        <w:tc>
          <w:tcPr>
            <w:tcW w:w="2070" w:type="dxa"/>
          </w:tcPr>
          <w:p w:rsidR="000E4D81" w:rsidRPr="00100BBA" w:rsidRDefault="000E4D81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Health Care Worker</w:t>
            </w:r>
          </w:p>
        </w:tc>
        <w:tc>
          <w:tcPr>
            <w:tcW w:w="1440" w:type="dxa"/>
          </w:tcPr>
          <w:p w:rsidR="000E4D81" w:rsidRPr="00100BBA" w:rsidRDefault="000E4D81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Policy Maker</w:t>
            </w:r>
          </w:p>
        </w:tc>
        <w:tc>
          <w:tcPr>
            <w:tcW w:w="1728" w:type="dxa"/>
          </w:tcPr>
          <w:p w:rsidR="000E4D81" w:rsidRPr="00100BBA" w:rsidRDefault="000E4D81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Journalist</w:t>
            </w:r>
          </w:p>
        </w:tc>
      </w:tr>
      <w:tr w:rsidR="000E4D81" w:rsidRPr="00100BBA" w:rsidTr="00100BBA">
        <w:tc>
          <w:tcPr>
            <w:tcW w:w="2268" w:type="dxa"/>
          </w:tcPr>
          <w:p w:rsidR="000E4D81" w:rsidRPr="00100BBA" w:rsidRDefault="000E4D81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How to title an article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2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0E4D81" w:rsidRPr="00100BBA" w:rsidTr="00100BBA">
        <w:tc>
          <w:tcPr>
            <w:tcW w:w="226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In person meeting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2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0E4D81" w:rsidRPr="00100BBA" w:rsidTr="00100BBA">
        <w:tc>
          <w:tcPr>
            <w:tcW w:w="226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Contact database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28" w:type="dxa"/>
          </w:tcPr>
          <w:p w:rsidR="00100BBA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0E4D81" w:rsidRPr="00100BBA" w:rsidTr="00100BBA">
        <w:tc>
          <w:tcPr>
            <w:tcW w:w="2268" w:type="dxa"/>
          </w:tcPr>
          <w:p w:rsidR="00100BBA" w:rsidRPr="00100BBA" w:rsidRDefault="00100BBA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Email strategy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72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0E4D81" w:rsidRPr="00100BBA" w:rsidTr="00100BBA">
        <w:tc>
          <w:tcPr>
            <w:tcW w:w="226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Fact sheet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2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0E4D81" w:rsidRPr="00100BBA" w:rsidTr="00100BBA">
        <w:tc>
          <w:tcPr>
            <w:tcW w:w="226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Media interview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2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bookmarkStart w:id="0" w:name="_GoBack"/>
        <w:bookmarkEnd w:id="0"/>
      </w:tr>
      <w:tr w:rsidR="000E4D81" w:rsidRPr="00100BBA" w:rsidTr="00100BBA">
        <w:tc>
          <w:tcPr>
            <w:tcW w:w="2268" w:type="dxa"/>
          </w:tcPr>
          <w:p w:rsidR="000E4D81" w:rsidRPr="00100BBA" w:rsidRDefault="00100BBA" w:rsidP="0084581F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Newsletter (e</w:t>
            </w:r>
            <w:r w:rsidR="0084581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or paper)</w:t>
            </w:r>
          </w:p>
        </w:tc>
        <w:tc>
          <w:tcPr>
            <w:tcW w:w="2070" w:type="dxa"/>
          </w:tcPr>
          <w:p w:rsidR="000E4D81" w:rsidRPr="00100BBA" w:rsidRDefault="0084581F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0" w:type="dxa"/>
          </w:tcPr>
          <w:p w:rsidR="000E4D81" w:rsidRPr="00100BBA" w:rsidRDefault="0084581F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0" w:type="dxa"/>
          </w:tcPr>
          <w:p w:rsidR="000E4D81" w:rsidRPr="00100BBA" w:rsidRDefault="0084581F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28" w:type="dxa"/>
          </w:tcPr>
          <w:p w:rsidR="0084581F" w:rsidRPr="00100BBA" w:rsidRDefault="0084581F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0E4D81" w:rsidRPr="00100BBA" w:rsidTr="00100BBA">
        <w:tc>
          <w:tcPr>
            <w:tcW w:w="226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Policy brief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4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2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0E4D81" w:rsidRPr="00100BBA" w:rsidTr="00100BBA">
        <w:tc>
          <w:tcPr>
            <w:tcW w:w="226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Poster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72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0E4D81" w:rsidRPr="00100BBA" w:rsidTr="00100BBA">
        <w:tc>
          <w:tcPr>
            <w:tcW w:w="226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Slide</w:t>
            </w: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presentation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2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0E4D81" w:rsidRPr="00100BBA" w:rsidTr="00100BBA">
        <w:tc>
          <w:tcPr>
            <w:tcW w:w="226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Press release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2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0E4D81" w:rsidRPr="00100BBA" w:rsidTr="00100BBA">
        <w:tc>
          <w:tcPr>
            <w:tcW w:w="226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Promotional material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2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0E4D81" w:rsidRPr="00100BBA" w:rsidTr="00100BBA">
        <w:tc>
          <w:tcPr>
            <w:tcW w:w="226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Report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2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0E4D81" w:rsidRPr="00100BBA" w:rsidTr="00100BBA">
        <w:tc>
          <w:tcPr>
            <w:tcW w:w="226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Social media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2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0E4D81" w:rsidRPr="00100BBA" w:rsidTr="00100BBA">
        <w:tc>
          <w:tcPr>
            <w:tcW w:w="226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Trade press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72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0E4D81" w:rsidRPr="00100BBA" w:rsidTr="00100BBA">
        <w:tc>
          <w:tcPr>
            <w:tcW w:w="226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07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0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728" w:type="dxa"/>
          </w:tcPr>
          <w:p w:rsidR="000E4D81" w:rsidRPr="00100BBA" w:rsidRDefault="00100BBA" w:rsidP="000E4D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00BBA">
              <w:rPr>
                <w:rFonts w:eastAsia="Times New Roman" w:cs="Times New Roman"/>
                <w:color w:val="000000"/>
                <w:sz w:val="20"/>
                <w:szCs w:val="20"/>
              </w:rPr>
              <w:t>Y</w:t>
            </w:r>
          </w:p>
        </w:tc>
      </w:tr>
    </w:tbl>
    <w:p w:rsidR="000E4D81" w:rsidRPr="00100BBA" w:rsidRDefault="000E4D81" w:rsidP="000E4D81">
      <w:pPr>
        <w:spacing w:after="0" w:line="240" w:lineRule="auto"/>
        <w:rPr>
          <w:rFonts w:eastAsia="Times New Roman" w:cs="Times New Roman"/>
          <w:color w:val="000000"/>
        </w:rPr>
      </w:pPr>
    </w:p>
    <w:p w:rsidR="0084581F" w:rsidRPr="0084581F" w:rsidRDefault="0084581F" w:rsidP="0084581F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</w:rPr>
        <w:tab/>
      </w:r>
      <w:r w:rsidRPr="0084581F">
        <w:rPr>
          <w:rFonts w:eastAsia="Times New Roman" w:cs="Times New Roman"/>
          <w:b/>
          <w:color w:val="000000"/>
          <w:sz w:val="20"/>
          <w:szCs w:val="20"/>
        </w:rPr>
        <w:t>Key</w:t>
      </w:r>
    </w:p>
    <w:p w:rsidR="0084581F" w:rsidRPr="0084581F" w:rsidRDefault="0084581F" w:rsidP="0084581F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</w:rPr>
      </w:pPr>
      <w:r w:rsidRPr="0084581F">
        <w:rPr>
          <w:rFonts w:eastAsia="Times New Roman" w:cs="Times New Roman"/>
          <w:color w:val="000000"/>
          <w:sz w:val="20"/>
          <w:szCs w:val="20"/>
        </w:rPr>
        <w:tab/>
        <w:t>Y: Yes, we have this resource</w:t>
      </w:r>
    </w:p>
    <w:p w:rsidR="0084581F" w:rsidRPr="0084581F" w:rsidRDefault="0084581F" w:rsidP="0084581F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</w:rPr>
      </w:pPr>
      <w:r w:rsidRPr="0084581F">
        <w:rPr>
          <w:rFonts w:eastAsia="Times New Roman" w:cs="Times New Roman"/>
          <w:color w:val="000000"/>
          <w:sz w:val="20"/>
          <w:szCs w:val="20"/>
        </w:rPr>
        <w:tab/>
        <w:t>NA: Not applicable, the tool is not relevant to the audience</w:t>
      </w:r>
    </w:p>
    <w:p w:rsidR="0084581F" w:rsidRPr="0084581F" w:rsidRDefault="0084581F" w:rsidP="0084581F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84581F">
        <w:rPr>
          <w:rFonts w:eastAsia="Times New Roman" w:cs="Times New Roman"/>
          <w:color w:val="000000"/>
          <w:sz w:val="20"/>
          <w:szCs w:val="20"/>
        </w:rPr>
        <w:tab/>
        <w:t>G: Gap, we do not have resources about using the tool to reach the audience</w:t>
      </w:r>
    </w:p>
    <w:p w:rsidR="000E4D81" w:rsidRPr="00100BBA" w:rsidRDefault="000E4D81" w:rsidP="000E4D81"/>
    <w:p w:rsidR="000E4D81" w:rsidRPr="00100BBA" w:rsidRDefault="000E4D81" w:rsidP="000E4D81"/>
    <w:sectPr w:rsidR="000E4D81" w:rsidRPr="00100BBA" w:rsidSect="006822E8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1F" w:rsidRDefault="0084581F" w:rsidP="0084581F">
      <w:pPr>
        <w:spacing w:after="0" w:line="240" w:lineRule="auto"/>
      </w:pPr>
      <w:r>
        <w:separator/>
      </w:r>
    </w:p>
  </w:endnote>
  <w:endnote w:type="continuationSeparator" w:id="0">
    <w:p w:rsidR="0084581F" w:rsidRDefault="0084581F" w:rsidP="0084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99672"/>
      <w:docPartObj>
        <w:docPartGallery w:val="Page Numbers (Bottom of Page)"/>
        <w:docPartUnique/>
      </w:docPartObj>
    </w:sdtPr>
    <w:sdtEndPr/>
    <w:sdtContent>
      <w:p w:rsidR="0084581F" w:rsidRDefault="00513E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3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581F" w:rsidRDefault="008458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1F" w:rsidRDefault="0084581F" w:rsidP="0084581F">
      <w:pPr>
        <w:spacing w:after="0" w:line="240" w:lineRule="auto"/>
      </w:pPr>
      <w:r>
        <w:separator/>
      </w:r>
    </w:p>
  </w:footnote>
  <w:footnote w:type="continuationSeparator" w:id="0">
    <w:p w:rsidR="0084581F" w:rsidRDefault="0084581F" w:rsidP="00845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1EE2"/>
    <w:multiLevelType w:val="hybridMultilevel"/>
    <w:tmpl w:val="EDA0A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11D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F3"/>
    <w:rsid w:val="000E4D81"/>
    <w:rsid w:val="00100BBA"/>
    <w:rsid w:val="001331AE"/>
    <w:rsid w:val="001B045A"/>
    <w:rsid w:val="00202245"/>
    <w:rsid w:val="0024732D"/>
    <w:rsid w:val="002571D3"/>
    <w:rsid w:val="0035773D"/>
    <w:rsid w:val="00477AE4"/>
    <w:rsid w:val="00564BBE"/>
    <w:rsid w:val="005C7059"/>
    <w:rsid w:val="006822E8"/>
    <w:rsid w:val="007F07AC"/>
    <w:rsid w:val="008042F2"/>
    <w:rsid w:val="0084581F"/>
    <w:rsid w:val="00912FF3"/>
    <w:rsid w:val="00A3634E"/>
    <w:rsid w:val="00BF19F4"/>
    <w:rsid w:val="00C13B2E"/>
    <w:rsid w:val="00E7720B"/>
    <w:rsid w:val="00F24219"/>
    <w:rsid w:val="00F24E3F"/>
    <w:rsid w:val="00F6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7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D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0E4D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45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81F"/>
  </w:style>
  <w:style w:type="paragraph" w:styleId="Footer">
    <w:name w:val="footer"/>
    <w:basedOn w:val="Normal"/>
    <w:link w:val="FooterChar"/>
    <w:uiPriority w:val="99"/>
    <w:unhideWhenUsed/>
    <w:rsid w:val="00845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7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D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0E4D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45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81F"/>
  </w:style>
  <w:style w:type="paragraph" w:styleId="Footer">
    <w:name w:val="footer"/>
    <w:basedOn w:val="Normal"/>
    <w:link w:val="FooterChar"/>
    <w:uiPriority w:val="99"/>
    <w:unhideWhenUsed/>
    <w:rsid w:val="00845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i360.org/sites/default/files/media/documents/Communications%20Handbook%20for%20Clinical%20Trials.pdf" TargetMode="External"/><Relationship Id="rId13" Type="http://schemas.openxmlformats.org/officeDocument/2006/relationships/hyperlink" Target="http://www.innovations.ac.uk/btg/resources/publications/dissemination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rc-caribbean.org/Portals/0/Downloads/Publications/Research/Health%20Research%20Policy/Caribbean%20Research%20to%20Policy%20Toolkit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dl-bnc.idrc.ca/dspace/bitstream/10625/46152/1/IDL-4615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drc.ca/en/resources/tools_and_training/documents/how-to-write-a-policy-brief.pdf" TargetMode="External"/><Relationship Id="rId10" Type="http://schemas.openxmlformats.org/officeDocument/2006/relationships/hyperlink" Target="http://www.odi.org/sites/odi.org.uk/files/odi-assets/publications-opinion-files/19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archtoolkit.org.isomedia.net/media/content/Rural%20Health%20Research%20Communications%20Toolkit.pdf" TargetMode="External"/><Relationship Id="rId14" Type="http://schemas.openxmlformats.org/officeDocument/2006/relationships/hyperlink" Target="http://www.ahrq.gov/professionals/quality-patient-safety/patient-safety-resources/resources/advances-in-patient-safety/vol4/planningtoo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Ewart, Ella (NIH/FIC) [C]</dc:creator>
  <cp:lastModifiedBy>Kupfer, Linda (NIH/FIC) [E]</cp:lastModifiedBy>
  <cp:revision>2</cp:revision>
  <dcterms:created xsi:type="dcterms:W3CDTF">2015-01-22T16:26:00Z</dcterms:created>
  <dcterms:modified xsi:type="dcterms:W3CDTF">2015-01-22T16:26:00Z</dcterms:modified>
</cp:coreProperties>
</file>